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8C" w:rsidRDefault="00D6188C" w:rsidP="00D6188C">
      <w:pPr>
        <w:tabs>
          <w:tab w:val="left" w:pos="4820"/>
        </w:tabs>
        <w:autoSpaceDE w:val="0"/>
        <w:autoSpaceDN w:val="0"/>
        <w:adjustRightInd w:val="0"/>
        <w:rPr>
          <w:rFonts w:ascii="Comic Sans MS" w:hAnsi="Comic Sans MS" w:cs="Calibri-Bold"/>
          <w:b/>
          <w:bCs/>
          <w:color w:val="000000" w:themeColor="text1"/>
          <w:sz w:val="24"/>
          <w:szCs w:val="24"/>
        </w:rPr>
      </w:pPr>
    </w:p>
    <w:p w:rsidR="00D6188C" w:rsidRDefault="00D6188C" w:rsidP="00D6188C">
      <w:pPr>
        <w:widowControl w:val="0"/>
        <w:spacing w:after="0" w:line="240" w:lineRule="auto"/>
        <w:jc w:val="center"/>
        <w:rPr>
          <w:i/>
          <w:iCs/>
        </w:rPr>
      </w:pPr>
      <w:r>
        <w:rPr>
          <w:i/>
          <w:iCs/>
        </w:rPr>
        <w:t>M</w:t>
      </w:r>
      <w:r w:rsidR="0027608B">
        <w:rPr>
          <w:i/>
          <w:iCs/>
        </w:rPr>
        <w:t xml:space="preserve">inistero dell’istruzione e del merito </w:t>
      </w:r>
    </w:p>
    <w:p w:rsidR="00D6188C" w:rsidRDefault="00D6188C" w:rsidP="00D6188C">
      <w:pPr>
        <w:widowControl w:val="0"/>
        <w:spacing w:after="0" w:line="240" w:lineRule="auto"/>
        <w:jc w:val="center"/>
        <w:rPr>
          <w:b/>
          <w:bCs/>
          <w:i/>
          <w:iCs/>
          <w:sz w:val="24"/>
          <w:szCs w:val="24"/>
          <w:u w:val="single"/>
        </w:rPr>
      </w:pPr>
      <w:r>
        <w:rPr>
          <w:b/>
          <w:bCs/>
          <w:i/>
          <w:iCs/>
          <w:sz w:val="24"/>
          <w:szCs w:val="24"/>
          <w:u w:val="single"/>
        </w:rPr>
        <w:t>ISTITUTO COMPRENSIVO   MANGONE - GRIMALDI</w:t>
      </w:r>
    </w:p>
    <w:p w:rsidR="00D6188C" w:rsidRDefault="00D6188C" w:rsidP="00D6188C">
      <w:pPr>
        <w:widowControl w:val="0"/>
        <w:spacing w:after="0" w:line="240" w:lineRule="auto"/>
        <w:jc w:val="center"/>
        <w:rPr>
          <w:b/>
          <w:bCs/>
          <w:i/>
          <w:iCs/>
          <w:sz w:val="24"/>
          <w:szCs w:val="24"/>
        </w:rPr>
      </w:pPr>
      <w:r>
        <w:rPr>
          <w:b/>
          <w:bCs/>
          <w:i/>
          <w:iCs/>
          <w:sz w:val="24"/>
          <w:szCs w:val="24"/>
        </w:rPr>
        <w:t>Scuola dell’Infanzia – Scuola Primaria – Scuola  Secondaria di 1° Grado  ad indirizzo musicale</w:t>
      </w:r>
    </w:p>
    <w:p w:rsidR="00D6188C" w:rsidRDefault="00D6188C" w:rsidP="00D6188C">
      <w:pPr>
        <w:widowControl w:val="0"/>
        <w:spacing w:after="0" w:line="240" w:lineRule="auto"/>
        <w:jc w:val="center"/>
        <w:rPr>
          <w:sz w:val="28"/>
          <w:szCs w:val="28"/>
        </w:rPr>
      </w:pPr>
      <w:r>
        <w:rPr>
          <w:sz w:val="28"/>
          <w:szCs w:val="28"/>
        </w:rPr>
        <w:t>Via Provinciale s.n.c. Piano Lago   87050   Mangone   (CS)</w:t>
      </w:r>
    </w:p>
    <w:p w:rsidR="00D6188C" w:rsidRDefault="00D6188C" w:rsidP="00D6188C">
      <w:pPr>
        <w:widowControl w:val="0"/>
        <w:spacing w:after="0" w:line="240" w:lineRule="auto"/>
        <w:jc w:val="center"/>
        <w:rPr>
          <w:color w:val="0000FF"/>
          <w:lang w:val="fr-FR"/>
        </w:rPr>
      </w:pPr>
      <w:r>
        <w:rPr>
          <w:lang w:val="fr-FR"/>
        </w:rPr>
        <w:t>Tel. e Fax   0984/969171    E.Mail</w:t>
      </w:r>
      <w:hyperlink r:id="rId6" w:history="1">
        <w:r w:rsidRPr="009209A8">
          <w:rPr>
            <w:rStyle w:val="Collegamentoipertestuale"/>
            <w:lang w:val="fr-FR"/>
          </w:rPr>
          <w:t>csic851003@istruzione.it</w:t>
        </w:r>
      </w:hyperlink>
    </w:p>
    <w:p w:rsidR="00D6188C" w:rsidRDefault="00D6188C" w:rsidP="00D6188C">
      <w:pPr>
        <w:widowControl w:val="0"/>
        <w:spacing w:after="0" w:line="240" w:lineRule="auto"/>
        <w:jc w:val="center"/>
        <w:rPr>
          <w:sz w:val="20"/>
          <w:szCs w:val="20"/>
          <w:lang w:val="fr-FR"/>
        </w:rPr>
      </w:pPr>
      <w:r>
        <w:rPr>
          <w:lang w:val="fr-FR"/>
        </w:rPr>
        <w:t xml:space="preserve">PEC </w:t>
      </w:r>
      <w:r>
        <w:rPr>
          <w:color w:val="0000FF"/>
          <w:lang w:val="fr-FR"/>
        </w:rPr>
        <w:t>csic851003@pec.istruzione.it</w:t>
      </w:r>
    </w:p>
    <w:p w:rsidR="00D6188C" w:rsidRDefault="00D6188C" w:rsidP="00D6188C">
      <w:pPr>
        <w:spacing w:after="0" w:line="240" w:lineRule="auto"/>
        <w:jc w:val="center"/>
      </w:pPr>
      <w:r>
        <w:t>Codice Fiscale  99332920786    Cod. Mecc.  CSIC851003</w:t>
      </w:r>
    </w:p>
    <w:p w:rsidR="00423538" w:rsidRDefault="00423538" w:rsidP="00D6188C">
      <w:pPr>
        <w:spacing w:after="0" w:line="240" w:lineRule="auto"/>
        <w:jc w:val="center"/>
      </w:pPr>
    </w:p>
    <w:p w:rsidR="00423538" w:rsidRDefault="00423538" w:rsidP="00D6188C">
      <w:pPr>
        <w:spacing w:after="0" w:line="240" w:lineRule="auto"/>
        <w:jc w:val="center"/>
      </w:pPr>
    </w:p>
    <w:p w:rsidR="00423538" w:rsidRPr="00423538" w:rsidRDefault="00423538" w:rsidP="00D6188C">
      <w:pPr>
        <w:spacing w:after="0" w:line="240" w:lineRule="auto"/>
        <w:jc w:val="center"/>
        <w:rPr>
          <w:rFonts w:ascii="Times New Roman" w:hAnsi="Times New Roman" w:cs="Times New Roman"/>
          <w:sz w:val="24"/>
          <w:szCs w:val="24"/>
        </w:rPr>
      </w:pPr>
    </w:p>
    <w:p w:rsidR="009E0173" w:rsidRDefault="009E0173" w:rsidP="00884A2E">
      <w:pPr>
        <w:spacing w:after="0" w:line="240" w:lineRule="auto"/>
        <w:ind w:left="4797" w:right="-13" w:hanging="10"/>
        <w:jc w:val="right"/>
        <w:rPr>
          <w:rFonts w:ascii="Times New Roman" w:hAnsi="Times New Roman" w:cs="Times New Roman"/>
          <w:sz w:val="24"/>
          <w:szCs w:val="24"/>
        </w:rPr>
      </w:pPr>
      <w:r w:rsidRPr="00423538">
        <w:rPr>
          <w:rFonts w:ascii="Times New Roman" w:hAnsi="Times New Roman" w:cs="Times New Roman"/>
          <w:sz w:val="24"/>
          <w:szCs w:val="24"/>
        </w:rPr>
        <w:t>Al DSGA</w:t>
      </w:r>
    </w:p>
    <w:p w:rsidR="00444196" w:rsidRPr="00423538" w:rsidRDefault="00444196" w:rsidP="00884A2E">
      <w:pPr>
        <w:spacing w:after="0" w:line="240" w:lineRule="auto"/>
        <w:ind w:left="4797" w:right="-13" w:hanging="10"/>
        <w:jc w:val="right"/>
        <w:rPr>
          <w:rFonts w:ascii="Times New Roman" w:hAnsi="Times New Roman" w:cs="Times New Roman"/>
          <w:sz w:val="24"/>
          <w:szCs w:val="24"/>
        </w:rPr>
      </w:pPr>
      <w:r>
        <w:rPr>
          <w:rFonts w:ascii="Times New Roman" w:hAnsi="Times New Roman" w:cs="Times New Roman"/>
          <w:sz w:val="24"/>
          <w:szCs w:val="24"/>
        </w:rPr>
        <w:t>Alle FS AREA 4 INSS. LEO MARISA E SONSOGNO DANIELA</w:t>
      </w:r>
    </w:p>
    <w:p w:rsidR="009E0173" w:rsidRPr="00423538" w:rsidRDefault="009E0173" w:rsidP="00884A2E">
      <w:pPr>
        <w:spacing w:after="0" w:line="240" w:lineRule="auto"/>
        <w:ind w:left="4797" w:right="-13" w:hanging="10"/>
        <w:jc w:val="right"/>
        <w:rPr>
          <w:rFonts w:ascii="Times New Roman" w:hAnsi="Times New Roman" w:cs="Times New Roman"/>
          <w:sz w:val="24"/>
          <w:szCs w:val="24"/>
        </w:rPr>
      </w:pPr>
      <w:r w:rsidRPr="00423538">
        <w:rPr>
          <w:rFonts w:ascii="Times New Roman" w:hAnsi="Times New Roman" w:cs="Times New Roman"/>
          <w:sz w:val="24"/>
          <w:szCs w:val="24"/>
        </w:rPr>
        <w:t xml:space="preserve"> Ai Genitori </w:t>
      </w:r>
      <w:r w:rsidR="00AD4246">
        <w:rPr>
          <w:rFonts w:ascii="Times New Roman" w:hAnsi="Times New Roman" w:cs="Times New Roman"/>
          <w:sz w:val="24"/>
          <w:szCs w:val="24"/>
        </w:rPr>
        <w:t>e agli alunni delle classi prime</w:t>
      </w:r>
      <w:r w:rsidRPr="00423538">
        <w:rPr>
          <w:rFonts w:ascii="Times New Roman" w:hAnsi="Times New Roman" w:cs="Times New Roman"/>
          <w:sz w:val="24"/>
          <w:szCs w:val="24"/>
        </w:rPr>
        <w:t xml:space="preserve"> scuola secondaria I grado</w:t>
      </w:r>
    </w:p>
    <w:p w:rsidR="009E0173" w:rsidRPr="00423538" w:rsidRDefault="009E0173" w:rsidP="00884A2E">
      <w:pPr>
        <w:spacing w:after="0" w:line="240" w:lineRule="auto"/>
        <w:ind w:left="4797" w:right="-13" w:hanging="10"/>
        <w:jc w:val="right"/>
        <w:rPr>
          <w:rFonts w:ascii="Times New Roman" w:hAnsi="Times New Roman" w:cs="Times New Roman"/>
          <w:sz w:val="24"/>
          <w:szCs w:val="24"/>
        </w:rPr>
      </w:pPr>
      <w:r w:rsidRPr="00423538">
        <w:rPr>
          <w:rFonts w:ascii="Times New Roman" w:hAnsi="Times New Roman" w:cs="Times New Roman"/>
          <w:sz w:val="24"/>
          <w:szCs w:val="24"/>
        </w:rPr>
        <w:t xml:space="preserve"> Al personale docente e ATA</w:t>
      </w:r>
    </w:p>
    <w:p w:rsidR="009E0173" w:rsidRPr="00423538" w:rsidRDefault="009E0173" w:rsidP="009E0173">
      <w:pPr>
        <w:spacing w:after="0" w:line="240" w:lineRule="auto"/>
        <w:ind w:left="4797" w:right="-13" w:hanging="10"/>
        <w:jc w:val="both"/>
        <w:rPr>
          <w:rFonts w:ascii="Times New Roman" w:hAnsi="Times New Roman" w:cs="Times New Roman"/>
          <w:sz w:val="24"/>
          <w:szCs w:val="24"/>
        </w:rPr>
      </w:pPr>
    </w:p>
    <w:p w:rsidR="009E0173" w:rsidRPr="00423538" w:rsidRDefault="009E0173"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 Oggetto : </w:t>
      </w:r>
      <w:r w:rsidRPr="00444196">
        <w:rPr>
          <w:rFonts w:ascii="Times New Roman" w:hAnsi="Times New Roman" w:cs="Times New Roman"/>
          <w:b/>
          <w:sz w:val="24"/>
          <w:szCs w:val="24"/>
        </w:rPr>
        <w:t>viaggio di istruz</w:t>
      </w:r>
      <w:r w:rsidR="005B3FCF" w:rsidRPr="00444196">
        <w:rPr>
          <w:rFonts w:ascii="Times New Roman" w:hAnsi="Times New Roman" w:cs="Times New Roman"/>
          <w:b/>
          <w:sz w:val="24"/>
          <w:szCs w:val="24"/>
        </w:rPr>
        <w:t>ione di due giorni in PUGLIA</w:t>
      </w:r>
      <w:r w:rsidR="00AD4246" w:rsidRPr="00444196">
        <w:rPr>
          <w:rFonts w:ascii="Times New Roman" w:hAnsi="Times New Roman" w:cs="Times New Roman"/>
          <w:b/>
          <w:sz w:val="24"/>
          <w:szCs w:val="24"/>
        </w:rPr>
        <w:t xml:space="preserve"> (</w:t>
      </w:r>
      <w:r w:rsidR="005B3FCF" w:rsidRPr="00444196">
        <w:rPr>
          <w:rFonts w:ascii="Times New Roman" w:hAnsi="Times New Roman" w:cs="Times New Roman"/>
          <w:b/>
          <w:sz w:val="24"/>
          <w:szCs w:val="24"/>
        </w:rPr>
        <w:t>ALUNNI CLASSI SECONDE</w:t>
      </w:r>
      <w:r w:rsidRPr="00444196">
        <w:rPr>
          <w:rFonts w:ascii="Times New Roman" w:hAnsi="Times New Roman" w:cs="Times New Roman"/>
          <w:b/>
          <w:sz w:val="24"/>
          <w:szCs w:val="24"/>
        </w:rPr>
        <w:t xml:space="preserve"> SCUOLA SECONDARIA DI I GRADO)</w:t>
      </w:r>
    </w:p>
    <w:p w:rsidR="009E0173" w:rsidRPr="00423538" w:rsidRDefault="009E0173" w:rsidP="009E0173">
      <w:pPr>
        <w:spacing w:after="0" w:line="240" w:lineRule="auto"/>
        <w:ind w:right="-13"/>
        <w:jc w:val="both"/>
        <w:rPr>
          <w:rFonts w:ascii="Times New Roman" w:hAnsi="Times New Roman" w:cs="Times New Roman"/>
          <w:sz w:val="24"/>
          <w:szCs w:val="24"/>
        </w:rPr>
      </w:pPr>
    </w:p>
    <w:p w:rsidR="009E0173" w:rsidRPr="00423538" w:rsidRDefault="009E0173"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 Si informano i genitori e gli alunni </w:t>
      </w:r>
      <w:r w:rsidR="00423538" w:rsidRPr="00423538">
        <w:rPr>
          <w:rFonts w:ascii="Times New Roman" w:hAnsi="Times New Roman" w:cs="Times New Roman"/>
          <w:sz w:val="24"/>
          <w:szCs w:val="24"/>
        </w:rPr>
        <w:t>che per le classi</w:t>
      </w:r>
      <w:r w:rsidRPr="00423538">
        <w:rPr>
          <w:rFonts w:ascii="Times New Roman" w:hAnsi="Times New Roman" w:cs="Times New Roman"/>
          <w:sz w:val="24"/>
          <w:szCs w:val="24"/>
        </w:rPr>
        <w:t xml:space="preserve"> </w:t>
      </w:r>
      <w:r w:rsidR="005B3FCF">
        <w:rPr>
          <w:rFonts w:ascii="Times New Roman" w:hAnsi="Times New Roman" w:cs="Times New Roman"/>
          <w:b/>
          <w:sz w:val="24"/>
          <w:szCs w:val="24"/>
        </w:rPr>
        <w:t>SECONDE</w:t>
      </w:r>
      <w:r w:rsidRPr="00423538">
        <w:rPr>
          <w:rFonts w:ascii="Times New Roman" w:hAnsi="Times New Roman" w:cs="Times New Roman"/>
          <w:b/>
          <w:sz w:val="24"/>
          <w:szCs w:val="24"/>
        </w:rPr>
        <w:t xml:space="preserve"> </w:t>
      </w:r>
      <w:r w:rsidRPr="00423538">
        <w:rPr>
          <w:rFonts w:ascii="Times New Roman" w:hAnsi="Times New Roman" w:cs="Times New Roman"/>
          <w:sz w:val="24"/>
          <w:szCs w:val="24"/>
        </w:rPr>
        <w:t>della scuola secondaria di I grado è stato programmato dagli organi collegiali un viaggio di istruzione di</w:t>
      </w:r>
      <w:r w:rsidRPr="00423538">
        <w:rPr>
          <w:rFonts w:ascii="Times New Roman" w:hAnsi="Times New Roman" w:cs="Times New Roman"/>
          <w:b/>
          <w:sz w:val="24"/>
          <w:szCs w:val="24"/>
        </w:rPr>
        <w:t xml:space="preserve"> DUE</w:t>
      </w:r>
      <w:r w:rsidR="005B3FCF">
        <w:rPr>
          <w:rFonts w:ascii="Times New Roman" w:hAnsi="Times New Roman" w:cs="Times New Roman"/>
          <w:sz w:val="24"/>
          <w:szCs w:val="24"/>
        </w:rPr>
        <w:t xml:space="preserve"> giorni in PUGLIA</w:t>
      </w:r>
      <w:r w:rsidRPr="00423538">
        <w:rPr>
          <w:rFonts w:ascii="Times New Roman" w:hAnsi="Times New Roman" w:cs="Times New Roman"/>
          <w:sz w:val="24"/>
          <w:szCs w:val="24"/>
        </w:rPr>
        <w:t xml:space="preserve"> previsto per i giorni </w:t>
      </w:r>
      <w:r w:rsidR="005B3FCF">
        <w:rPr>
          <w:rFonts w:ascii="Times New Roman" w:hAnsi="Times New Roman" w:cs="Times New Roman"/>
          <w:b/>
          <w:sz w:val="24"/>
          <w:szCs w:val="24"/>
        </w:rPr>
        <w:t>09 e 10 aprile 2025</w:t>
      </w:r>
    </w:p>
    <w:p w:rsidR="009E0173" w:rsidRPr="00423538" w:rsidRDefault="009E0173" w:rsidP="009E0173">
      <w:pPr>
        <w:spacing w:after="0" w:line="240" w:lineRule="auto"/>
        <w:ind w:right="-13"/>
        <w:jc w:val="both"/>
        <w:rPr>
          <w:rFonts w:ascii="Times New Roman" w:hAnsi="Times New Roman" w:cs="Times New Roman"/>
          <w:sz w:val="24"/>
          <w:szCs w:val="24"/>
        </w:rPr>
      </w:pPr>
    </w:p>
    <w:p w:rsidR="00B33D34" w:rsidRPr="00423538" w:rsidRDefault="009E0173" w:rsidP="009E0173">
      <w:pPr>
        <w:spacing w:after="0" w:line="240" w:lineRule="auto"/>
        <w:ind w:right="-13"/>
        <w:jc w:val="both"/>
        <w:rPr>
          <w:rFonts w:ascii="Times New Roman" w:hAnsi="Times New Roman" w:cs="Times New Roman"/>
          <w:b/>
          <w:sz w:val="24"/>
          <w:szCs w:val="24"/>
        </w:rPr>
      </w:pPr>
      <w:r w:rsidRPr="00423538">
        <w:rPr>
          <w:rFonts w:ascii="Times New Roman" w:hAnsi="Times New Roman" w:cs="Times New Roman"/>
          <w:sz w:val="24"/>
          <w:szCs w:val="24"/>
        </w:rPr>
        <w:t>Si forniranno, nei prossimi giorni</w:t>
      </w:r>
      <w:r w:rsidR="00423538" w:rsidRPr="00423538">
        <w:rPr>
          <w:rFonts w:ascii="Times New Roman" w:hAnsi="Times New Roman" w:cs="Times New Roman"/>
          <w:sz w:val="24"/>
          <w:szCs w:val="24"/>
        </w:rPr>
        <w:t>,</w:t>
      </w:r>
      <w:r w:rsidRPr="00423538">
        <w:rPr>
          <w:rFonts w:ascii="Times New Roman" w:hAnsi="Times New Roman" w:cs="Times New Roman"/>
          <w:sz w:val="24"/>
          <w:szCs w:val="24"/>
        </w:rPr>
        <w:t xml:space="preserve"> ulteriori dettagli </w:t>
      </w:r>
      <w:r w:rsidR="00423538" w:rsidRPr="00423538">
        <w:rPr>
          <w:rFonts w:ascii="Times New Roman" w:hAnsi="Times New Roman" w:cs="Times New Roman"/>
          <w:sz w:val="24"/>
          <w:szCs w:val="24"/>
        </w:rPr>
        <w:t>sul costo effettivo</w:t>
      </w:r>
      <w:r w:rsidRPr="00423538">
        <w:rPr>
          <w:rFonts w:ascii="Times New Roman" w:hAnsi="Times New Roman" w:cs="Times New Roman"/>
          <w:sz w:val="24"/>
          <w:szCs w:val="24"/>
        </w:rPr>
        <w:t xml:space="preserve"> che dipen</w:t>
      </w:r>
      <w:r w:rsidR="00423538" w:rsidRPr="00423538">
        <w:rPr>
          <w:rFonts w:ascii="Times New Roman" w:hAnsi="Times New Roman" w:cs="Times New Roman"/>
          <w:sz w:val="24"/>
          <w:szCs w:val="24"/>
        </w:rPr>
        <w:t xml:space="preserve">de dal numero delle adesioni e </w:t>
      </w:r>
      <w:r w:rsidRPr="00423538">
        <w:rPr>
          <w:rFonts w:ascii="Times New Roman" w:hAnsi="Times New Roman" w:cs="Times New Roman"/>
          <w:sz w:val="24"/>
          <w:szCs w:val="24"/>
        </w:rPr>
        <w:t xml:space="preserve">che, comunque, è orientativamente </w:t>
      </w:r>
      <w:r w:rsidR="005B3FCF">
        <w:rPr>
          <w:rFonts w:ascii="Times New Roman" w:hAnsi="Times New Roman" w:cs="Times New Roman"/>
          <w:b/>
          <w:sz w:val="24"/>
          <w:szCs w:val="24"/>
          <w:u w:val="single"/>
        </w:rPr>
        <w:t>pari a 14</w:t>
      </w:r>
      <w:r w:rsidR="00423538" w:rsidRPr="00423538">
        <w:rPr>
          <w:rFonts w:ascii="Times New Roman" w:hAnsi="Times New Roman" w:cs="Times New Roman"/>
          <w:b/>
          <w:sz w:val="24"/>
          <w:szCs w:val="24"/>
          <w:u w:val="single"/>
        </w:rPr>
        <w:t>0,00 euro a partecipante</w:t>
      </w:r>
    </w:p>
    <w:p w:rsidR="00A27DFB" w:rsidRPr="00423538" w:rsidRDefault="00A27DFB" w:rsidP="009E0173">
      <w:pPr>
        <w:spacing w:after="0" w:line="240" w:lineRule="auto"/>
        <w:ind w:right="-13"/>
        <w:jc w:val="both"/>
        <w:rPr>
          <w:rFonts w:ascii="Times New Roman" w:hAnsi="Times New Roman" w:cs="Times New Roman"/>
          <w:b/>
          <w:sz w:val="24"/>
          <w:szCs w:val="24"/>
        </w:rPr>
      </w:pPr>
    </w:p>
    <w:p w:rsidR="00A27DFB" w:rsidRDefault="00A27DFB" w:rsidP="00A27DFB">
      <w:pPr>
        <w:spacing w:after="0" w:line="240" w:lineRule="auto"/>
        <w:ind w:right="-13"/>
        <w:jc w:val="center"/>
        <w:rPr>
          <w:rFonts w:ascii="Times New Roman" w:hAnsi="Times New Roman" w:cs="Times New Roman"/>
          <w:b/>
          <w:sz w:val="24"/>
          <w:szCs w:val="24"/>
        </w:rPr>
      </w:pPr>
      <w:r w:rsidRPr="00423538">
        <w:rPr>
          <w:rFonts w:ascii="Times New Roman" w:hAnsi="Times New Roman" w:cs="Times New Roman"/>
          <w:b/>
          <w:sz w:val="24"/>
          <w:szCs w:val="24"/>
        </w:rPr>
        <w:t>ITINERARIO DETTAGLIATO DEL VIAGGIO</w:t>
      </w:r>
      <w:r w:rsidR="005B3FCF">
        <w:rPr>
          <w:rFonts w:ascii="Times New Roman" w:hAnsi="Times New Roman" w:cs="Times New Roman"/>
          <w:b/>
          <w:sz w:val="24"/>
          <w:szCs w:val="24"/>
        </w:rPr>
        <w:t xml:space="preserve"> </w:t>
      </w:r>
    </w:p>
    <w:p w:rsidR="00AD4246" w:rsidRPr="00423538" w:rsidRDefault="00AD4246" w:rsidP="00A27DFB">
      <w:pPr>
        <w:spacing w:after="0" w:line="240" w:lineRule="auto"/>
        <w:ind w:right="-13"/>
        <w:jc w:val="center"/>
        <w:rPr>
          <w:rFonts w:ascii="Times New Roman" w:hAnsi="Times New Roman" w:cs="Times New Roman"/>
          <w:b/>
          <w:sz w:val="24"/>
          <w:szCs w:val="24"/>
        </w:rPr>
      </w:pPr>
    </w:p>
    <w:p w:rsidR="00423538" w:rsidRDefault="005B3FCF" w:rsidP="00A27DFB">
      <w:pPr>
        <w:spacing w:after="0" w:line="240" w:lineRule="auto"/>
        <w:ind w:right="-13"/>
        <w:jc w:val="center"/>
        <w:rPr>
          <w:rFonts w:ascii="Times New Roman" w:hAnsi="Times New Roman" w:cs="Times New Roman"/>
          <w:sz w:val="24"/>
          <w:szCs w:val="24"/>
        </w:rPr>
      </w:pPr>
      <w:bookmarkStart w:id="0" w:name="_GoBack"/>
      <w:r>
        <w:rPr>
          <w:rFonts w:ascii="Times New Roman" w:hAnsi="Times New Roman" w:cs="Times New Roman"/>
          <w:sz w:val="24"/>
          <w:szCs w:val="24"/>
        </w:rPr>
        <w:t>GIORNO 09</w:t>
      </w:r>
      <w:r w:rsidR="00423538" w:rsidRPr="00423538">
        <w:rPr>
          <w:rFonts w:ascii="Times New Roman" w:hAnsi="Times New Roman" w:cs="Times New Roman"/>
          <w:sz w:val="24"/>
          <w:szCs w:val="24"/>
        </w:rPr>
        <w:t xml:space="preserve"> aprile 2024</w:t>
      </w:r>
      <w:r w:rsidR="00444196">
        <w:rPr>
          <w:rFonts w:ascii="Times New Roman" w:hAnsi="Times New Roman" w:cs="Times New Roman"/>
          <w:sz w:val="24"/>
          <w:szCs w:val="24"/>
        </w:rPr>
        <w:t xml:space="preserve"> –CASTELLANA, ALBEROBELLO,GALLIPOLI</w:t>
      </w:r>
    </w:p>
    <w:p w:rsidR="00AD4246" w:rsidRPr="00423538" w:rsidRDefault="00AD4246" w:rsidP="00A27DFB">
      <w:pPr>
        <w:spacing w:after="0" w:line="240" w:lineRule="auto"/>
        <w:ind w:right="-13"/>
        <w:jc w:val="center"/>
        <w:rPr>
          <w:rFonts w:ascii="Times New Roman" w:hAnsi="Times New Roman" w:cs="Times New Roman"/>
          <w:sz w:val="24"/>
          <w:szCs w:val="24"/>
        </w:rPr>
      </w:pPr>
    </w:p>
    <w:p w:rsidR="00423538" w:rsidRPr="00423538" w:rsidRDefault="00A27DFB" w:rsidP="00423538">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Ore 06.00 - Partenza da INGRESSO AUTOSTRADALE PIANO LAGO svincolo autostradale con autobus GT</w:t>
      </w:r>
    </w:p>
    <w:p w:rsidR="00423538" w:rsidRPr="00423538" w:rsidRDefault="005B3FCF" w:rsidP="00423538">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Ore 10.00 – Arrivo a CASTELLANA visita guidata delle grotte ( percorso </w:t>
      </w:r>
      <w:r w:rsidRPr="005B3FCF">
        <w:rPr>
          <w:rFonts w:ascii="Times New Roman" w:hAnsi="Times New Roman" w:cs="Times New Roman"/>
          <w:b/>
          <w:sz w:val="24"/>
          <w:szCs w:val="24"/>
        </w:rPr>
        <w:t xml:space="preserve">grotta </w:t>
      </w:r>
      <w:proofErr w:type="spellStart"/>
      <w:r w:rsidRPr="005B3FCF">
        <w:rPr>
          <w:rFonts w:ascii="Times New Roman" w:hAnsi="Times New Roman" w:cs="Times New Roman"/>
          <w:b/>
          <w:sz w:val="24"/>
          <w:szCs w:val="24"/>
        </w:rPr>
        <w:t>shool</w:t>
      </w:r>
      <w:proofErr w:type="spellEnd"/>
      <w:r w:rsidRPr="005B3FCF">
        <w:rPr>
          <w:rFonts w:ascii="Times New Roman" w:hAnsi="Times New Roman" w:cs="Times New Roman"/>
          <w:b/>
          <w:sz w:val="24"/>
          <w:szCs w:val="24"/>
        </w:rPr>
        <w:t>-apprendimento nel sottosuolo</w:t>
      </w:r>
      <w:r>
        <w:rPr>
          <w:rFonts w:ascii="Times New Roman" w:hAnsi="Times New Roman" w:cs="Times New Roman"/>
          <w:sz w:val="24"/>
          <w:szCs w:val="24"/>
        </w:rPr>
        <w:t>-durata 50 minuti-biglietto di ingresso compreso nel pacchetto)</w:t>
      </w:r>
    </w:p>
    <w:p w:rsidR="00423538" w:rsidRPr="00423538" w:rsidRDefault="00A27DFB" w:rsidP="00423538">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 Ore 13.30 - Pranzo </w:t>
      </w:r>
      <w:r w:rsidR="005B3FCF">
        <w:rPr>
          <w:rFonts w:ascii="Times New Roman" w:hAnsi="Times New Roman" w:cs="Times New Roman"/>
          <w:sz w:val="24"/>
          <w:szCs w:val="24"/>
        </w:rPr>
        <w:t xml:space="preserve"> a carico dei partecipanti ( cestino da viaggio fornito dalle famiglie)</w:t>
      </w:r>
    </w:p>
    <w:p w:rsidR="00423538" w:rsidRPr="00423538" w:rsidRDefault="00A27DFB" w:rsidP="00423538">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Ore 14.30– </w:t>
      </w:r>
      <w:r w:rsidR="005B3FCF">
        <w:rPr>
          <w:rFonts w:ascii="Times New Roman" w:hAnsi="Times New Roman" w:cs="Times New Roman"/>
          <w:sz w:val="24"/>
          <w:szCs w:val="24"/>
        </w:rPr>
        <w:t>trasferimento ad ALBEROBELLO e visita della città</w:t>
      </w:r>
      <w:r w:rsidR="00444196">
        <w:rPr>
          <w:rFonts w:ascii="Times New Roman" w:hAnsi="Times New Roman" w:cs="Times New Roman"/>
          <w:sz w:val="24"/>
          <w:szCs w:val="24"/>
        </w:rPr>
        <w:t xml:space="preserve"> dei trulli</w:t>
      </w:r>
      <w:r w:rsidR="005B3FCF">
        <w:rPr>
          <w:rFonts w:ascii="Times New Roman" w:hAnsi="Times New Roman" w:cs="Times New Roman"/>
          <w:sz w:val="24"/>
          <w:szCs w:val="24"/>
        </w:rPr>
        <w:t xml:space="preserve"> </w:t>
      </w:r>
      <w:r w:rsidR="00444196">
        <w:rPr>
          <w:rFonts w:ascii="Times New Roman" w:hAnsi="Times New Roman" w:cs="Times New Roman"/>
          <w:sz w:val="24"/>
          <w:szCs w:val="24"/>
        </w:rPr>
        <w:t>con guida turistica compresa nel pacchetto</w:t>
      </w:r>
    </w:p>
    <w:p w:rsidR="00423538" w:rsidRPr="00423538" w:rsidRDefault="00444196" w:rsidP="00423538">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Ore 20</w:t>
      </w:r>
      <w:r w:rsidR="005B3FCF">
        <w:rPr>
          <w:rFonts w:ascii="Times New Roman" w:hAnsi="Times New Roman" w:cs="Times New Roman"/>
          <w:sz w:val="24"/>
          <w:szCs w:val="24"/>
        </w:rPr>
        <w:t>.00 – Arrivo in hotel 4 STELLE a GALLIPOLI</w:t>
      </w:r>
      <w:r w:rsidR="00A27DFB" w:rsidRPr="00423538">
        <w:rPr>
          <w:rFonts w:ascii="Times New Roman" w:hAnsi="Times New Roman" w:cs="Times New Roman"/>
          <w:sz w:val="24"/>
          <w:szCs w:val="24"/>
        </w:rPr>
        <w:t xml:space="preserve"> e sistemazione </w:t>
      </w:r>
      <w:r>
        <w:rPr>
          <w:rFonts w:ascii="Times New Roman" w:hAnsi="Times New Roman" w:cs="Times New Roman"/>
          <w:sz w:val="24"/>
          <w:szCs w:val="24"/>
        </w:rPr>
        <w:t>nelle camere</w:t>
      </w:r>
    </w:p>
    <w:p w:rsidR="00423538" w:rsidRPr="00423538" w:rsidRDefault="00423538" w:rsidP="00423538">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Ore 20.30 - Cena IN HOTEL </w:t>
      </w:r>
      <w:r w:rsidR="00444196">
        <w:rPr>
          <w:rFonts w:ascii="Times New Roman" w:hAnsi="Times New Roman" w:cs="Times New Roman"/>
          <w:sz w:val="24"/>
          <w:szCs w:val="24"/>
        </w:rPr>
        <w:t xml:space="preserve"> e pernottamento</w:t>
      </w:r>
    </w:p>
    <w:p w:rsidR="00A27DFB" w:rsidRPr="00423538" w:rsidRDefault="00A27DFB" w:rsidP="00423538">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 </w:t>
      </w:r>
    </w:p>
    <w:p w:rsidR="00423538" w:rsidRPr="00423538" w:rsidRDefault="00423538" w:rsidP="00A27DFB">
      <w:pPr>
        <w:spacing w:after="0" w:line="240" w:lineRule="auto"/>
        <w:ind w:right="-13"/>
        <w:jc w:val="center"/>
        <w:rPr>
          <w:rFonts w:ascii="Times New Roman" w:hAnsi="Times New Roman" w:cs="Times New Roman"/>
          <w:sz w:val="24"/>
          <w:szCs w:val="24"/>
        </w:rPr>
      </w:pPr>
    </w:p>
    <w:p w:rsidR="00423538" w:rsidRPr="00423538" w:rsidRDefault="00444196" w:rsidP="00423538">
      <w:pPr>
        <w:spacing w:after="0" w:line="240" w:lineRule="auto"/>
        <w:ind w:right="-13"/>
        <w:jc w:val="center"/>
        <w:rPr>
          <w:rFonts w:ascii="Times New Roman" w:hAnsi="Times New Roman" w:cs="Times New Roman"/>
          <w:sz w:val="24"/>
          <w:szCs w:val="24"/>
        </w:rPr>
      </w:pPr>
      <w:r>
        <w:rPr>
          <w:rFonts w:ascii="Times New Roman" w:hAnsi="Times New Roman" w:cs="Times New Roman"/>
          <w:sz w:val="24"/>
          <w:szCs w:val="24"/>
        </w:rPr>
        <w:t>GIORNO 10 aprile 2025</w:t>
      </w:r>
    </w:p>
    <w:p w:rsidR="00423538" w:rsidRPr="00423538" w:rsidRDefault="00423538"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Ore 08.00 – Prima colazione in hotel </w:t>
      </w:r>
    </w:p>
    <w:p w:rsidR="00423538" w:rsidRPr="00423538" w:rsidRDefault="00444196" w:rsidP="009E0173">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Ore 08</w:t>
      </w:r>
      <w:r w:rsidR="00423538" w:rsidRPr="00423538">
        <w:rPr>
          <w:rFonts w:ascii="Times New Roman" w:hAnsi="Times New Roman" w:cs="Times New Roman"/>
          <w:sz w:val="24"/>
          <w:szCs w:val="24"/>
        </w:rPr>
        <w:t xml:space="preserve">.30 – </w:t>
      </w:r>
      <w:r>
        <w:rPr>
          <w:rFonts w:ascii="Times New Roman" w:hAnsi="Times New Roman" w:cs="Times New Roman"/>
          <w:sz w:val="24"/>
          <w:szCs w:val="24"/>
        </w:rPr>
        <w:t>partenza per OTRANTO e visita della città con guida turistica compresa nel pacchetto. Visita del duomo e del castello aragonese</w:t>
      </w:r>
    </w:p>
    <w:p w:rsidR="00423538" w:rsidRPr="00423538" w:rsidRDefault="00444196" w:rsidP="009E0173">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Ore- 13.00 – colazione al sacco con cestino fornito dall’hotel( n.2 panini farciti, frutta e acqua)</w:t>
      </w:r>
      <w:r w:rsidR="00423538" w:rsidRPr="00423538">
        <w:rPr>
          <w:rFonts w:ascii="Times New Roman" w:hAnsi="Times New Roman" w:cs="Times New Roman"/>
          <w:sz w:val="24"/>
          <w:szCs w:val="24"/>
        </w:rPr>
        <w:t xml:space="preserve"> </w:t>
      </w:r>
    </w:p>
    <w:p w:rsidR="00423538" w:rsidRPr="00423538" w:rsidRDefault="00423538"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Ore 13.30 – </w:t>
      </w:r>
      <w:r w:rsidR="00444196">
        <w:rPr>
          <w:rFonts w:ascii="Times New Roman" w:hAnsi="Times New Roman" w:cs="Times New Roman"/>
          <w:sz w:val="24"/>
          <w:szCs w:val="24"/>
        </w:rPr>
        <w:t xml:space="preserve">trasferimento a Lecce e visita guidata della città </w:t>
      </w:r>
    </w:p>
    <w:p w:rsidR="009E0173" w:rsidRPr="00423538" w:rsidRDefault="00423538"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lastRenderedPageBreak/>
        <w:t xml:space="preserve">Ore </w:t>
      </w:r>
      <w:r w:rsidR="00444196">
        <w:rPr>
          <w:rFonts w:ascii="Times New Roman" w:hAnsi="Times New Roman" w:cs="Times New Roman"/>
          <w:sz w:val="24"/>
          <w:szCs w:val="24"/>
        </w:rPr>
        <w:t>18</w:t>
      </w:r>
      <w:r w:rsidRPr="00423538">
        <w:rPr>
          <w:rFonts w:ascii="Times New Roman" w:hAnsi="Times New Roman" w:cs="Times New Roman"/>
          <w:sz w:val="24"/>
          <w:szCs w:val="24"/>
        </w:rPr>
        <w:t>.30 – Partenza per rientro in sede Ore 00.00 – Arrivo Piano Lago e fine servizi</w:t>
      </w:r>
      <w:bookmarkEnd w:id="0"/>
    </w:p>
    <w:p w:rsidR="009E0173" w:rsidRPr="00423538" w:rsidRDefault="009E0173" w:rsidP="009E0173">
      <w:pPr>
        <w:spacing w:after="0" w:line="240" w:lineRule="auto"/>
        <w:ind w:right="-13"/>
        <w:jc w:val="both"/>
        <w:rPr>
          <w:rFonts w:ascii="Times New Roman" w:hAnsi="Times New Roman" w:cs="Times New Roman"/>
          <w:sz w:val="24"/>
          <w:szCs w:val="24"/>
        </w:rPr>
      </w:pPr>
    </w:p>
    <w:p w:rsidR="009E0173" w:rsidRPr="00423538" w:rsidRDefault="009E0173"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In questa prima fase si chiede ai genitori e agli alunni di esprimere l’intenzione di partecipare al viaggio di istruzione compilando il modello </w:t>
      </w:r>
      <w:r w:rsidRPr="00AD4246">
        <w:rPr>
          <w:rFonts w:ascii="Times New Roman" w:hAnsi="Times New Roman" w:cs="Times New Roman"/>
          <w:b/>
          <w:sz w:val="24"/>
          <w:szCs w:val="24"/>
        </w:rPr>
        <w:t xml:space="preserve">ALLEGATO </w:t>
      </w:r>
      <w:r w:rsidRPr="00423538">
        <w:rPr>
          <w:rFonts w:ascii="Times New Roman" w:hAnsi="Times New Roman" w:cs="Times New Roman"/>
          <w:sz w:val="24"/>
          <w:szCs w:val="24"/>
        </w:rPr>
        <w:t>alla presente circolare, ciò al fine di poter determinare la quota di partecipazione e definire i dettagli del viaggio.</w:t>
      </w:r>
    </w:p>
    <w:p w:rsidR="009E0173" w:rsidRPr="00423538" w:rsidRDefault="009E0173" w:rsidP="009E0173">
      <w:pPr>
        <w:spacing w:after="0" w:line="240" w:lineRule="auto"/>
        <w:ind w:right="-13"/>
        <w:jc w:val="both"/>
        <w:rPr>
          <w:rFonts w:ascii="Times New Roman" w:hAnsi="Times New Roman" w:cs="Times New Roman"/>
          <w:sz w:val="24"/>
          <w:szCs w:val="24"/>
        </w:rPr>
      </w:pPr>
      <w:r w:rsidRPr="00423538">
        <w:rPr>
          <w:rFonts w:ascii="Times New Roman" w:hAnsi="Times New Roman" w:cs="Times New Roman"/>
          <w:sz w:val="24"/>
          <w:szCs w:val="24"/>
        </w:rPr>
        <w:t xml:space="preserve"> Pertanto, si chiede di voler restituire il modello di adesione allegato al coordinatore di classe entro </w:t>
      </w:r>
      <w:r w:rsidR="0021462B">
        <w:rPr>
          <w:rFonts w:ascii="Times New Roman" w:hAnsi="Times New Roman" w:cs="Times New Roman"/>
          <w:b/>
          <w:sz w:val="24"/>
          <w:szCs w:val="24"/>
        </w:rPr>
        <w:t xml:space="preserve">giorno </w:t>
      </w:r>
      <w:r w:rsidR="0021462B" w:rsidRPr="0021462B">
        <w:rPr>
          <w:rFonts w:ascii="Times New Roman" w:hAnsi="Times New Roman" w:cs="Times New Roman"/>
          <w:b/>
          <w:sz w:val="40"/>
          <w:szCs w:val="40"/>
        </w:rPr>
        <w:t>13</w:t>
      </w:r>
      <w:r w:rsidR="00444196" w:rsidRPr="0021462B">
        <w:rPr>
          <w:rFonts w:ascii="Times New Roman" w:hAnsi="Times New Roman" w:cs="Times New Roman"/>
          <w:b/>
          <w:sz w:val="40"/>
          <w:szCs w:val="40"/>
        </w:rPr>
        <w:t xml:space="preserve">  febbraio 2025</w:t>
      </w:r>
      <w:r w:rsidRPr="0021462B">
        <w:rPr>
          <w:rFonts w:ascii="Times New Roman" w:hAnsi="Times New Roman" w:cs="Times New Roman"/>
          <w:b/>
          <w:sz w:val="40"/>
          <w:szCs w:val="40"/>
        </w:rPr>
        <w:t>.</w:t>
      </w:r>
      <w:r w:rsidRPr="00423538">
        <w:rPr>
          <w:rFonts w:ascii="Times New Roman" w:hAnsi="Times New Roman" w:cs="Times New Roman"/>
          <w:sz w:val="24"/>
          <w:szCs w:val="24"/>
        </w:rPr>
        <w:t xml:space="preserve"> </w:t>
      </w:r>
    </w:p>
    <w:p w:rsidR="009E0173" w:rsidRPr="00423538" w:rsidRDefault="00444196" w:rsidP="009E0173">
      <w:pPr>
        <w:spacing w:after="0" w:line="24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Per la stessa data si chiede </w:t>
      </w:r>
      <w:r w:rsidR="009E0173" w:rsidRPr="00423538">
        <w:rPr>
          <w:rFonts w:ascii="Times New Roman" w:hAnsi="Times New Roman" w:cs="Times New Roman"/>
          <w:sz w:val="24"/>
          <w:szCs w:val="24"/>
        </w:rPr>
        <w:t xml:space="preserve">ai genitori di compilare l’autorizzazione e la dichiarazione per eventuali intolleranze o allergie </w:t>
      </w:r>
      <w:r w:rsidR="009E0173" w:rsidRPr="0021462B">
        <w:rPr>
          <w:rFonts w:ascii="Times New Roman" w:hAnsi="Times New Roman" w:cs="Times New Roman"/>
          <w:b/>
          <w:sz w:val="24"/>
          <w:szCs w:val="24"/>
          <w:u w:val="single"/>
        </w:rPr>
        <w:t>Pertanto, la sottoscrizione dell’autorizzazione rappresenta l’impegno formale a partecipare al viaggio e precede l’emissione del bollettino di pagamento mediante il sistema PAGO PA da parte della segreteria</w:t>
      </w:r>
    </w:p>
    <w:p w:rsidR="009E0173" w:rsidRPr="00423538" w:rsidRDefault="009E0173" w:rsidP="009E0173">
      <w:pPr>
        <w:spacing w:after="0" w:line="240" w:lineRule="auto"/>
        <w:ind w:right="-13"/>
        <w:jc w:val="both"/>
        <w:rPr>
          <w:rFonts w:ascii="Times New Roman" w:eastAsia="Times New Roman" w:hAnsi="Times New Roman" w:cs="Times New Roman"/>
          <w:b/>
          <w:sz w:val="24"/>
          <w:szCs w:val="24"/>
        </w:rPr>
      </w:pPr>
    </w:p>
    <w:p w:rsidR="004B5DFD" w:rsidRDefault="004B5DFD" w:rsidP="00884A2E">
      <w:pPr>
        <w:spacing w:after="0" w:line="240" w:lineRule="auto"/>
        <w:ind w:left="4797" w:right="-13" w:hanging="10"/>
        <w:jc w:val="right"/>
        <w:rPr>
          <w:rFonts w:ascii="Times New Roman" w:eastAsia="Times New Roman" w:hAnsi="Times New Roman" w:cs="Times New Roman"/>
          <w:b/>
        </w:rPr>
      </w:pPr>
    </w:p>
    <w:p w:rsidR="00924817" w:rsidRPr="00D6188C" w:rsidRDefault="00217D0F">
      <w:pPr>
        <w:spacing w:after="0"/>
        <w:ind w:left="10" w:right="763" w:hanging="10"/>
        <w:jc w:val="center"/>
        <w:rPr>
          <w:rFonts w:ascii="Times New Roman" w:hAnsi="Times New Roman" w:cs="Times New Roman"/>
        </w:rPr>
      </w:pPr>
      <w:r w:rsidRPr="00D6188C">
        <w:rPr>
          <w:rFonts w:ascii="Times New Roman" w:eastAsia="Times New Roman" w:hAnsi="Times New Roman" w:cs="Times New Roman"/>
          <w:b/>
        </w:rPr>
        <w:t xml:space="preserve">Il dirigente scolastico </w:t>
      </w:r>
    </w:p>
    <w:p w:rsidR="00924817" w:rsidRPr="00D6188C" w:rsidRDefault="00217D0F">
      <w:pPr>
        <w:spacing w:after="0"/>
        <w:ind w:left="10" w:right="769" w:hanging="10"/>
        <w:jc w:val="center"/>
        <w:rPr>
          <w:rFonts w:ascii="Times New Roman" w:hAnsi="Times New Roman" w:cs="Times New Roman"/>
        </w:rPr>
      </w:pPr>
      <w:r w:rsidRPr="00D6188C">
        <w:rPr>
          <w:rFonts w:ascii="Times New Roman" w:eastAsia="Times New Roman" w:hAnsi="Times New Roman" w:cs="Times New Roman"/>
          <w:b/>
        </w:rPr>
        <w:t xml:space="preserve">Dott.ssa Mariella Chiappetta </w:t>
      </w:r>
    </w:p>
    <w:p w:rsidR="00924817" w:rsidRDefault="00217D0F">
      <w:pPr>
        <w:spacing w:after="0"/>
        <w:ind w:right="767"/>
        <w:jc w:val="center"/>
        <w:rPr>
          <w:rFonts w:ascii="Times New Roman" w:eastAsia="Times New Roman" w:hAnsi="Times New Roman" w:cs="Times New Roman"/>
        </w:rPr>
      </w:pPr>
      <w:r w:rsidRPr="00D6188C">
        <w:rPr>
          <w:rFonts w:ascii="Times New Roman" w:eastAsia="Times New Roman" w:hAnsi="Times New Roman" w:cs="Times New Roman"/>
        </w:rPr>
        <w:t xml:space="preserve">Firma autografa sostituita a mezzo stampa ai sensi dell’art. 3, comma 2 del D.Lgs.39/93 </w:t>
      </w: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Default="00601C74">
      <w:pPr>
        <w:spacing w:after="0"/>
        <w:ind w:right="767"/>
        <w:jc w:val="center"/>
        <w:rPr>
          <w:rFonts w:ascii="Times New Roman" w:eastAsia="Times New Roman" w:hAnsi="Times New Roman" w:cs="Times New Roman"/>
        </w:rPr>
      </w:pP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u w:val="single"/>
        </w:rPr>
      </w:pPr>
      <w:r w:rsidRPr="00601C74">
        <w:rPr>
          <w:rFonts w:eastAsia="Times New Roman"/>
          <w:b/>
          <w:bCs/>
          <w:sz w:val="27"/>
          <w:szCs w:val="27"/>
          <w:u w:val="single"/>
        </w:rPr>
        <w:t>Art </w:t>
      </w:r>
      <w:bookmarkStart w:id="1" w:name="049"/>
      <w:r w:rsidRPr="00601C74">
        <w:rPr>
          <w:rFonts w:eastAsia="Times New Roman"/>
          <w:b/>
          <w:bCs/>
          <w:sz w:val="27"/>
          <w:szCs w:val="27"/>
          <w:u w:val="single"/>
        </w:rPr>
        <w:t>49</w:t>
      </w:r>
      <w:bookmarkEnd w:id="1"/>
      <w:r w:rsidRPr="00601C74">
        <w:rPr>
          <w:rFonts w:eastAsia="Times New Roman"/>
          <w:b/>
          <w:bCs/>
          <w:sz w:val="27"/>
          <w:szCs w:val="27"/>
          <w:u w:val="single"/>
        </w:rPr>
        <w:t>. (Principio di rotazione degli affidamenti)</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1. Gli affidamenti di cui alla presente Parte avvengono nel rispetto del principio di rotazione.</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2. In applicazione del principio di rotazione è vietato l’affidamento o l’aggiudicazione di un appalto al contraente uscente nei casi in cui due consecutivi affidamenti abbiano a oggetto una commessa rientrante nello stesso settore merceologico, oppure nella stessa categoria di opere, oppure nello stesso settore di servizi.</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3. La stazione appaltante può ripartire gli affidamenti in fasce in base al valore economico. In tale caso il divieto di affidamento o di aggiudicazione si applica con riferimento a ciascuna fascia, fatto salvo quanto previsto dai commi 4, 5 e 6.</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4. In casi motivati con riferimento alla struttura del mercato e alla effettiva assenza di alternative, nonché di accurata esecuzione del precedente contratto, il contraente uscente può essere reinvitato o essere individuato quale affidatario diretto.</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5. Per i contratti affidati con le procedure di cui all’</w:t>
      </w:r>
      <w:hyperlink r:id="rId7" w:anchor="050" w:history="1">
        <w:r w:rsidRPr="00601C74">
          <w:rPr>
            <w:rFonts w:eastAsia="Times New Roman"/>
            <w:color w:val="0000FF"/>
            <w:sz w:val="27"/>
            <w:szCs w:val="27"/>
            <w:u w:val="single"/>
          </w:rPr>
          <w:t>articolo 50, comma 1, lettere c), d) ed e)</w:t>
        </w:r>
      </w:hyperlink>
      <w:r w:rsidRPr="00601C74">
        <w:rPr>
          <w:rFonts w:eastAsia="Times New Roman"/>
          <w:sz w:val="27"/>
          <w:szCs w:val="27"/>
        </w:rPr>
        <w:t>, le stazioni appaltanti non applicano il principio di rotazione quando l’indagine di mercato sia stata effettuata senza porre limiti al numero di operatori economici in possesso dei requisiti richiesti da invitare alla successiva procedura negoziata.</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6. È comunque consentito derogare all’applicazione del principio di rotazione per gli affidamenti diretti di importo inferiore a 5.000 euro.</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b/>
          <w:bCs/>
          <w:sz w:val="27"/>
          <w:szCs w:val="27"/>
        </w:rPr>
        <w:t>Art. </w:t>
      </w:r>
      <w:bookmarkStart w:id="2" w:name="050"/>
      <w:r w:rsidRPr="00601C74">
        <w:rPr>
          <w:rFonts w:eastAsia="Times New Roman"/>
          <w:b/>
          <w:bCs/>
          <w:sz w:val="27"/>
          <w:szCs w:val="27"/>
        </w:rPr>
        <w:t>50</w:t>
      </w:r>
      <w:bookmarkEnd w:id="2"/>
      <w:r w:rsidRPr="00601C74">
        <w:rPr>
          <w:rFonts w:eastAsia="Times New Roman"/>
          <w:b/>
          <w:bCs/>
          <w:sz w:val="27"/>
          <w:szCs w:val="27"/>
        </w:rPr>
        <w:t>. (Procedure per l’affidamento)</w:t>
      </w:r>
    </w:p>
    <w:p w:rsidR="00601C74" w:rsidRPr="00601C74" w:rsidRDefault="00601C74" w:rsidP="00601C74">
      <w:pPr>
        <w:spacing w:before="100"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1. Salvo quanto previsto dagli </w:t>
      </w:r>
      <w:hyperlink r:id="rId8" w:anchor="062" w:history="1">
        <w:r w:rsidRPr="00601C74">
          <w:rPr>
            <w:rFonts w:eastAsia="Times New Roman"/>
            <w:color w:val="0000FF"/>
            <w:sz w:val="27"/>
            <w:szCs w:val="27"/>
            <w:u w:val="single"/>
          </w:rPr>
          <w:t>articoli 62 e 63</w:t>
        </w:r>
      </w:hyperlink>
      <w:r w:rsidRPr="00601C74">
        <w:rPr>
          <w:rFonts w:eastAsia="Times New Roman"/>
          <w:sz w:val="27"/>
          <w:szCs w:val="27"/>
        </w:rPr>
        <w:t>, le stazioni appaltanti procedono all'affidamento dei contratti di lavori, servizi e forniture di importo inferiore alle soglie di cui all’</w:t>
      </w:r>
      <w:hyperlink r:id="rId9" w:anchor="014" w:history="1">
        <w:r w:rsidRPr="00601C74">
          <w:rPr>
            <w:rFonts w:eastAsia="Times New Roman"/>
            <w:color w:val="0000FF"/>
            <w:sz w:val="27"/>
            <w:szCs w:val="27"/>
            <w:u w:val="single"/>
          </w:rPr>
          <w:t>articolo 14</w:t>
        </w:r>
      </w:hyperlink>
      <w:r w:rsidRPr="00601C74">
        <w:rPr>
          <w:rFonts w:eastAsia="Times New Roman"/>
          <w:sz w:val="27"/>
          <w:szCs w:val="27"/>
        </w:rPr>
        <w:t> con le seguenti modalità:</w:t>
      </w:r>
    </w:p>
    <w:p w:rsidR="00601C74" w:rsidRPr="00601C74" w:rsidRDefault="00601C74" w:rsidP="00601C74">
      <w:pPr>
        <w:spacing w:beforeAutospacing="1" w:after="100" w:afterAutospacing="1" w:line="240" w:lineRule="auto"/>
        <w:rPr>
          <w:rFonts w:ascii="Times New Roman" w:eastAsia="Times New Roman" w:hAnsi="Times New Roman" w:cs="Times New Roman"/>
          <w:sz w:val="27"/>
          <w:szCs w:val="27"/>
        </w:rPr>
      </w:pPr>
      <w:r w:rsidRPr="00601C74">
        <w:rPr>
          <w:rFonts w:eastAsia="Times New Roman"/>
          <w:sz w:val="27"/>
          <w:szCs w:val="27"/>
        </w:rPr>
        <w:t>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601C74">
        <w:rPr>
          <w:rFonts w:eastAsia="Times New Roman"/>
          <w:sz w:val="27"/>
          <w:szCs w:val="27"/>
        </w:rPr>
        <w:br/>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601C74">
        <w:rPr>
          <w:rFonts w:eastAsia="Times New Roman"/>
          <w:sz w:val="27"/>
          <w:szCs w:val="27"/>
        </w:rPr>
        <w:br/>
        <w:t xml:space="preserve">c) procedura negoziata senza bando, previa consultazione di almeno cinque operatori </w:t>
      </w:r>
      <w:r w:rsidRPr="00601C74">
        <w:rPr>
          <w:rFonts w:eastAsia="Times New Roman"/>
          <w:sz w:val="27"/>
          <w:szCs w:val="27"/>
        </w:rPr>
        <w:lastRenderedPageBreak/>
        <w:t>economici, ove esistenti, individuati in base a indagini di mercato o tramite elenchi di operatori economici, per i lavori di importo pari o superiore a 150.000 euro e inferiore a 1 milione di euro;</w:t>
      </w:r>
      <w:r w:rsidRPr="00601C74">
        <w:rPr>
          <w:rFonts w:eastAsia="Times New Roman"/>
          <w:sz w:val="27"/>
          <w:szCs w:val="27"/>
        </w:rPr>
        <w:br/>
        <w:t>d) procedura negoziata senza bando, previa consultazione di almeno dieci operatori economici, ove esistenti, individuati in base a indagini di mercato o tramite elenchi di operatori economici, per lavori di importo pari o superiore a 1 milione di euro e fino alle soglie di cui all’</w:t>
      </w:r>
      <w:hyperlink r:id="rId10" w:anchor="014" w:history="1">
        <w:r w:rsidRPr="00601C74">
          <w:rPr>
            <w:rFonts w:eastAsia="Times New Roman"/>
            <w:color w:val="0000FF"/>
            <w:sz w:val="27"/>
            <w:szCs w:val="27"/>
            <w:u w:val="single"/>
          </w:rPr>
          <w:t>articolo 14</w:t>
        </w:r>
      </w:hyperlink>
      <w:r w:rsidRPr="00601C74">
        <w:rPr>
          <w:rFonts w:eastAsia="Times New Roman"/>
          <w:sz w:val="27"/>
          <w:szCs w:val="27"/>
        </w:rPr>
        <w:t>, salva la possibilità di ricorrere alle procedure di scelta del contraente di cui alla Parte IV del presente Libro;</w:t>
      </w:r>
      <w:r w:rsidRPr="00601C74">
        <w:rPr>
          <w:rFonts w:eastAsia="Times New Roman"/>
          <w:sz w:val="27"/>
          <w:szCs w:val="27"/>
        </w:rPr>
        <w:br/>
        <w:t>e) 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140.000 euro e fino alle soglie di cui all’</w:t>
      </w:r>
      <w:hyperlink r:id="rId11" w:anchor="014" w:history="1">
        <w:r w:rsidRPr="00601C74">
          <w:rPr>
            <w:rFonts w:eastAsia="Times New Roman"/>
            <w:color w:val="0000FF"/>
            <w:sz w:val="27"/>
            <w:szCs w:val="27"/>
            <w:u w:val="single"/>
          </w:rPr>
          <w:t>articolo 14</w:t>
        </w:r>
      </w:hyperlink>
    </w:p>
    <w:p w:rsidR="00601C74" w:rsidRPr="00D6188C" w:rsidRDefault="00601C74">
      <w:pPr>
        <w:spacing w:after="0"/>
        <w:ind w:right="767"/>
        <w:jc w:val="center"/>
        <w:rPr>
          <w:rFonts w:ascii="Times New Roman" w:hAnsi="Times New Roman" w:cs="Times New Roman"/>
        </w:rPr>
      </w:pPr>
    </w:p>
    <w:p w:rsidR="00924817" w:rsidRDefault="00924817">
      <w:pPr>
        <w:spacing w:after="0"/>
        <w:ind w:left="4866"/>
        <w:jc w:val="both"/>
      </w:pPr>
    </w:p>
    <w:p w:rsidR="0011598A" w:rsidRPr="0011598A" w:rsidRDefault="0011598A" w:rsidP="004B5DFD">
      <w:pPr>
        <w:shd w:val="clear" w:color="auto" w:fill="FFFFFF"/>
        <w:spacing w:after="0" w:line="240" w:lineRule="auto"/>
        <w:jc w:val="both"/>
        <w:textAlignment w:val="baseline"/>
        <w:rPr>
          <w:rFonts w:ascii="Arial" w:eastAsia="Times New Roman" w:hAnsi="Arial" w:cs="Arial"/>
          <w:color w:val="404040"/>
          <w:sz w:val="24"/>
          <w:szCs w:val="24"/>
        </w:rPr>
      </w:pPr>
    </w:p>
    <w:p w:rsidR="0011598A" w:rsidRDefault="0011598A">
      <w:pPr>
        <w:spacing w:after="0"/>
        <w:ind w:left="4866"/>
        <w:jc w:val="both"/>
      </w:pPr>
    </w:p>
    <w:sectPr w:rsidR="0011598A" w:rsidSect="004C2966">
      <w:pgSz w:w="11906" w:h="16838"/>
      <w:pgMar w:top="1417" w:right="358" w:bottom="1497"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438"/>
    <w:multiLevelType w:val="hybridMultilevel"/>
    <w:tmpl w:val="CF487A42"/>
    <w:lvl w:ilvl="0" w:tplc="D27A0CF8">
      <w:start w:val="1"/>
      <w:numFmt w:val="decimal"/>
      <w:lvlText w:val="%1)"/>
      <w:lvlJc w:val="left"/>
      <w:pPr>
        <w:ind w:left="488" w:hanging="360"/>
      </w:pPr>
      <w:rPr>
        <w:rFonts w:hint="default"/>
      </w:rPr>
    </w:lvl>
    <w:lvl w:ilvl="1" w:tplc="04100019" w:tentative="1">
      <w:start w:val="1"/>
      <w:numFmt w:val="lowerLetter"/>
      <w:lvlText w:val="%2."/>
      <w:lvlJc w:val="left"/>
      <w:pPr>
        <w:ind w:left="1208" w:hanging="360"/>
      </w:pPr>
    </w:lvl>
    <w:lvl w:ilvl="2" w:tplc="0410001B" w:tentative="1">
      <w:start w:val="1"/>
      <w:numFmt w:val="lowerRoman"/>
      <w:lvlText w:val="%3."/>
      <w:lvlJc w:val="right"/>
      <w:pPr>
        <w:ind w:left="1928" w:hanging="180"/>
      </w:pPr>
    </w:lvl>
    <w:lvl w:ilvl="3" w:tplc="0410000F" w:tentative="1">
      <w:start w:val="1"/>
      <w:numFmt w:val="decimal"/>
      <w:lvlText w:val="%4."/>
      <w:lvlJc w:val="left"/>
      <w:pPr>
        <w:ind w:left="2648" w:hanging="360"/>
      </w:pPr>
    </w:lvl>
    <w:lvl w:ilvl="4" w:tplc="04100019" w:tentative="1">
      <w:start w:val="1"/>
      <w:numFmt w:val="lowerLetter"/>
      <w:lvlText w:val="%5."/>
      <w:lvlJc w:val="left"/>
      <w:pPr>
        <w:ind w:left="3368" w:hanging="360"/>
      </w:pPr>
    </w:lvl>
    <w:lvl w:ilvl="5" w:tplc="0410001B" w:tentative="1">
      <w:start w:val="1"/>
      <w:numFmt w:val="lowerRoman"/>
      <w:lvlText w:val="%6."/>
      <w:lvlJc w:val="right"/>
      <w:pPr>
        <w:ind w:left="4088" w:hanging="180"/>
      </w:pPr>
    </w:lvl>
    <w:lvl w:ilvl="6" w:tplc="0410000F" w:tentative="1">
      <w:start w:val="1"/>
      <w:numFmt w:val="decimal"/>
      <w:lvlText w:val="%7."/>
      <w:lvlJc w:val="left"/>
      <w:pPr>
        <w:ind w:left="4808" w:hanging="360"/>
      </w:pPr>
    </w:lvl>
    <w:lvl w:ilvl="7" w:tplc="04100019" w:tentative="1">
      <w:start w:val="1"/>
      <w:numFmt w:val="lowerLetter"/>
      <w:lvlText w:val="%8."/>
      <w:lvlJc w:val="left"/>
      <w:pPr>
        <w:ind w:left="5528" w:hanging="360"/>
      </w:pPr>
    </w:lvl>
    <w:lvl w:ilvl="8" w:tplc="0410001B" w:tentative="1">
      <w:start w:val="1"/>
      <w:numFmt w:val="lowerRoman"/>
      <w:lvlText w:val="%9."/>
      <w:lvlJc w:val="right"/>
      <w:pPr>
        <w:ind w:left="6248" w:hanging="180"/>
      </w:pPr>
    </w:lvl>
  </w:abstractNum>
  <w:abstractNum w:abstractNumId="1">
    <w:nsid w:val="136B141B"/>
    <w:multiLevelType w:val="multilevel"/>
    <w:tmpl w:val="F960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E2040"/>
    <w:multiLevelType w:val="hybridMultilevel"/>
    <w:tmpl w:val="BADE8A4A"/>
    <w:lvl w:ilvl="0" w:tplc="4E20AB28">
      <w:start w:val="1"/>
      <w:numFmt w:val="decimal"/>
      <w:lvlText w:val="%1)"/>
      <w:lvlJc w:val="left"/>
      <w:pPr>
        <w:ind w:left="359" w:hanging="360"/>
      </w:pPr>
      <w:rPr>
        <w:rFonts w:eastAsia="Times New Roman"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
    <w:nsid w:val="506919AA"/>
    <w:multiLevelType w:val="multilevel"/>
    <w:tmpl w:val="97E8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924817"/>
    <w:rsid w:val="000E039C"/>
    <w:rsid w:val="0011598A"/>
    <w:rsid w:val="00130DA4"/>
    <w:rsid w:val="001A1AB1"/>
    <w:rsid w:val="0021462B"/>
    <w:rsid w:val="00217D0F"/>
    <w:rsid w:val="0027608B"/>
    <w:rsid w:val="002B279B"/>
    <w:rsid w:val="00423538"/>
    <w:rsid w:val="00444196"/>
    <w:rsid w:val="004A59E4"/>
    <w:rsid w:val="004B5DFD"/>
    <w:rsid w:val="004C2966"/>
    <w:rsid w:val="00593A39"/>
    <w:rsid w:val="005B3FCF"/>
    <w:rsid w:val="005D253C"/>
    <w:rsid w:val="00601C74"/>
    <w:rsid w:val="00605F65"/>
    <w:rsid w:val="006563FB"/>
    <w:rsid w:val="007F280C"/>
    <w:rsid w:val="00845C74"/>
    <w:rsid w:val="00884A2E"/>
    <w:rsid w:val="00885FC0"/>
    <w:rsid w:val="009048B3"/>
    <w:rsid w:val="00924817"/>
    <w:rsid w:val="009A6D2F"/>
    <w:rsid w:val="009E0173"/>
    <w:rsid w:val="009E033E"/>
    <w:rsid w:val="00A27DFB"/>
    <w:rsid w:val="00AC3BAB"/>
    <w:rsid w:val="00AD4246"/>
    <w:rsid w:val="00B33D34"/>
    <w:rsid w:val="00C139A4"/>
    <w:rsid w:val="00CA37A3"/>
    <w:rsid w:val="00CB49E1"/>
    <w:rsid w:val="00D6188C"/>
    <w:rsid w:val="00D647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966"/>
    <w:rPr>
      <w:rFonts w:ascii="Calibri" w:eastAsia="Calibri" w:hAnsi="Calibri" w:cs="Calibri"/>
      <w:color w:val="000000"/>
    </w:rPr>
  </w:style>
  <w:style w:type="paragraph" w:styleId="Titolo1">
    <w:name w:val="heading 1"/>
    <w:next w:val="Normale"/>
    <w:link w:val="Titolo1Carattere"/>
    <w:uiPriority w:val="9"/>
    <w:unhideWhenUsed/>
    <w:qFormat/>
    <w:rsid w:val="004C2966"/>
    <w:pPr>
      <w:keepNext/>
      <w:keepLines/>
      <w:spacing w:after="0" w:line="260" w:lineRule="auto"/>
      <w:ind w:left="24" w:hanging="10"/>
      <w:outlineLvl w:val="0"/>
    </w:pPr>
    <w:rPr>
      <w:rFonts w:ascii="Times New Roman" w:eastAsia="Times New Roman" w:hAnsi="Times New Roman" w:cs="Times New Roman"/>
      <w:b/>
      <w:color w:val="000000"/>
      <w:sz w:val="28"/>
      <w:u w:val="single" w:color="000000"/>
    </w:rPr>
  </w:style>
  <w:style w:type="paragraph" w:styleId="Titolo2">
    <w:name w:val="heading 2"/>
    <w:basedOn w:val="Normale"/>
    <w:next w:val="Normale"/>
    <w:link w:val="Titolo2Carattere"/>
    <w:uiPriority w:val="9"/>
    <w:semiHidden/>
    <w:unhideWhenUsed/>
    <w:qFormat/>
    <w:rsid w:val="0011598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C2966"/>
    <w:rPr>
      <w:rFonts w:ascii="Times New Roman" w:eastAsia="Times New Roman" w:hAnsi="Times New Roman" w:cs="Times New Roman"/>
      <w:b/>
      <w:color w:val="000000"/>
      <w:sz w:val="28"/>
      <w:u w:val="single" w:color="000000"/>
    </w:rPr>
  </w:style>
  <w:style w:type="table" w:customStyle="1" w:styleId="TableGrid">
    <w:name w:val="TableGrid"/>
    <w:rsid w:val="004C2966"/>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6188C"/>
    <w:rPr>
      <w:color w:val="0563C1" w:themeColor="hyperlink"/>
      <w:u w:val="single"/>
    </w:rPr>
  </w:style>
  <w:style w:type="paragraph" w:styleId="Paragrafoelenco">
    <w:name w:val="List Paragraph"/>
    <w:basedOn w:val="Normale"/>
    <w:uiPriority w:val="34"/>
    <w:qFormat/>
    <w:rsid w:val="00D6188C"/>
    <w:pPr>
      <w:ind w:left="720"/>
      <w:contextualSpacing/>
    </w:pPr>
  </w:style>
  <w:style w:type="table" w:styleId="Grigliatabella">
    <w:name w:val="Table Grid"/>
    <w:basedOn w:val="Tabellanormale"/>
    <w:uiPriority w:val="39"/>
    <w:rsid w:val="00AC3B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uiPriority w:val="9"/>
    <w:semiHidden/>
    <w:rsid w:val="0011598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7972">
      <w:bodyDiv w:val="1"/>
      <w:marLeft w:val="0"/>
      <w:marRight w:val="0"/>
      <w:marTop w:val="0"/>
      <w:marBottom w:val="0"/>
      <w:divBdr>
        <w:top w:val="none" w:sz="0" w:space="0" w:color="auto"/>
        <w:left w:val="none" w:sz="0" w:space="0" w:color="auto"/>
        <w:bottom w:val="none" w:sz="0" w:space="0" w:color="auto"/>
        <w:right w:val="none" w:sz="0" w:space="0" w:color="auto"/>
      </w:divBdr>
      <w:divsChild>
        <w:div w:id="158545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843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osettiegatti.eu/info/norme/statali/2023_003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c851003@istruzione.it" TargetMode="External"/><Relationship Id="rId11"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10" Type="http://schemas.openxmlformats.org/officeDocument/2006/relationships/hyperlink" Target="https://www.bosettiegatti.eu/info/norme/statali/2023_0036.htm" TargetMode="Externa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1</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Utente</cp:lastModifiedBy>
  <cp:revision>22</cp:revision>
  <cp:lastPrinted>2023-10-27T08:39:00Z</cp:lastPrinted>
  <dcterms:created xsi:type="dcterms:W3CDTF">2022-09-09T12:14:00Z</dcterms:created>
  <dcterms:modified xsi:type="dcterms:W3CDTF">2025-02-03T10:59:00Z</dcterms:modified>
</cp:coreProperties>
</file>